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FC" w:rsidRDefault="00735AFC" w:rsidP="00735AFC">
      <w:pPr>
        <w:jc w:val="center"/>
        <w:rPr>
          <w:b/>
        </w:rPr>
      </w:pPr>
      <w:r w:rsidRPr="00F528C7">
        <w:rPr>
          <w:b/>
        </w:rPr>
        <w:t>WALTER SISULU UNIVERSITY</w:t>
      </w:r>
    </w:p>
    <w:p w:rsidR="00676AFC" w:rsidRDefault="00676AFC" w:rsidP="00676AFC">
      <w:pPr>
        <w:jc w:val="center"/>
        <w:rPr>
          <w:b/>
        </w:rPr>
      </w:pPr>
      <w:r>
        <w:rPr>
          <w:b/>
        </w:rPr>
        <w:t>FACULTY OF HUMANITIES, SOCIAL SCIENCES AND LAW</w:t>
      </w:r>
    </w:p>
    <w:p w:rsidR="00676AFC" w:rsidRPr="00C013AF" w:rsidRDefault="005D4285" w:rsidP="00676AFC">
      <w:pPr>
        <w:jc w:val="center"/>
        <w:rPr>
          <w:b/>
        </w:rPr>
      </w:pPr>
      <w:r>
        <w:rPr>
          <w:b/>
        </w:rPr>
        <w:t xml:space="preserve">PROGRAMME OFFERINGS AND </w:t>
      </w:r>
      <w:r w:rsidR="00676AFC">
        <w:rPr>
          <w:b/>
        </w:rPr>
        <w:t>MINIMUM ADMISS</w:t>
      </w:r>
      <w:r>
        <w:rPr>
          <w:b/>
        </w:rPr>
        <w:t>ION REQUIREMENTS FOR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7"/>
        <w:gridCol w:w="8"/>
        <w:gridCol w:w="2963"/>
        <w:gridCol w:w="1128"/>
        <w:gridCol w:w="6"/>
        <w:gridCol w:w="1191"/>
        <w:gridCol w:w="18"/>
        <w:gridCol w:w="549"/>
        <w:gridCol w:w="19"/>
        <w:gridCol w:w="3003"/>
        <w:gridCol w:w="1905"/>
        <w:gridCol w:w="2951"/>
      </w:tblGrid>
      <w:tr w:rsidR="00676AFC" w:rsidRPr="009872B2" w:rsidTr="00273BD9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6AFC" w:rsidRPr="00C42658" w:rsidRDefault="00676AFC" w:rsidP="00273BD9">
            <w:pPr>
              <w:spacing w:after="15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QUALIFICATION CODE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QUALIFICATION DESCRIPTION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OFFERING TYPE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DURATION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6AFC" w:rsidRPr="00C42658" w:rsidRDefault="00676AFC" w:rsidP="00273BD9">
            <w:pPr>
              <w:spacing w:after="15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APS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6AFC" w:rsidRPr="00C42658" w:rsidRDefault="00676AFC" w:rsidP="00273BD9">
            <w:pPr>
              <w:spacing w:after="15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National Senior Certificate  2008-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6AFC" w:rsidRPr="00C42658" w:rsidRDefault="00676AFC" w:rsidP="00273BD9">
            <w:pPr>
              <w:spacing w:after="15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National Senior Certificate (Old)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6AFC" w:rsidRPr="00C42658" w:rsidRDefault="00676AFC" w:rsidP="00273BD9">
            <w:pPr>
              <w:spacing w:after="15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National Certificate Vocational (NCV)</w:t>
            </w:r>
          </w:p>
          <w:p w:rsidR="00676AFC" w:rsidRPr="00C42658" w:rsidRDefault="00676AFC" w:rsidP="00273BD9">
            <w:pPr>
              <w:spacing w:after="15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Additional or alternative requirements</w:t>
            </w:r>
          </w:p>
        </w:tc>
      </w:tr>
      <w:tr w:rsidR="00676AFC" w:rsidRPr="009872B2" w:rsidTr="0027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5" w:type="dxa"/>
            <w:gridSpan w:val="2"/>
            <w:shd w:val="clear" w:color="auto" w:fill="auto"/>
          </w:tcPr>
          <w:p w:rsidR="00676AFC" w:rsidRPr="00F351D7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351D7">
              <w:rPr>
                <w:rFonts w:cs="Calibri"/>
                <w:b/>
                <w:sz w:val="20"/>
                <w:szCs w:val="20"/>
              </w:rPr>
              <w:t>WS5409</w:t>
            </w:r>
          </w:p>
          <w:p w:rsidR="00671865" w:rsidRPr="00F351D7" w:rsidRDefault="00671865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6AFC" w:rsidRPr="00F351D7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351D7">
              <w:rPr>
                <w:rFonts w:cs="Calibri"/>
                <w:b/>
                <w:sz w:val="20"/>
                <w:szCs w:val="20"/>
              </w:rPr>
              <w:t>WS5403</w:t>
            </w:r>
          </w:p>
        </w:tc>
        <w:tc>
          <w:tcPr>
            <w:tcW w:w="2963" w:type="dxa"/>
            <w:shd w:val="clear" w:color="auto" w:fill="auto"/>
          </w:tcPr>
          <w:p w:rsidR="00676AFC" w:rsidRPr="00F351D7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351D7">
              <w:rPr>
                <w:rFonts w:cs="Calibri"/>
                <w:b/>
                <w:sz w:val="20"/>
                <w:szCs w:val="20"/>
              </w:rPr>
              <w:t>Bachelor of Social Science Extended (ECP)</w:t>
            </w:r>
          </w:p>
          <w:p w:rsidR="00676AFC" w:rsidRPr="00F351D7" w:rsidRDefault="00676AFC" w:rsidP="0067186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6AFC" w:rsidRPr="00F351D7" w:rsidRDefault="00676AFC" w:rsidP="0067186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51D7">
              <w:rPr>
                <w:rFonts w:cs="Calibri"/>
                <w:b/>
                <w:sz w:val="20"/>
                <w:szCs w:val="20"/>
              </w:rPr>
              <w:t>Bachelor of Social Science Main Stream</w:t>
            </w:r>
          </w:p>
          <w:p w:rsidR="00676AFC" w:rsidRPr="00F351D7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76AFC" w:rsidRPr="00F351D7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351D7">
              <w:rPr>
                <w:rFonts w:cs="Calibri"/>
                <w:b/>
                <w:sz w:val="20"/>
                <w:szCs w:val="20"/>
              </w:rPr>
              <w:t>Full-time</w:t>
            </w:r>
          </w:p>
          <w:p w:rsidR="00676AFC" w:rsidRPr="00F351D7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6AFC" w:rsidRPr="00F351D7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351D7">
              <w:rPr>
                <w:rFonts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676AFC" w:rsidRPr="00F351D7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351D7">
              <w:rPr>
                <w:rFonts w:cs="Calibri"/>
                <w:b/>
                <w:sz w:val="20"/>
                <w:szCs w:val="20"/>
              </w:rPr>
              <w:t>4</w:t>
            </w:r>
          </w:p>
          <w:p w:rsidR="00676AFC" w:rsidRPr="00F351D7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6AFC" w:rsidRPr="00F351D7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351D7">
              <w:rPr>
                <w:rFonts w:cs="Calibri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568" w:type="dxa"/>
            <w:gridSpan w:val="2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26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3003" w:type="dxa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Endorsement: NSC (Bachelor’s Degree)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Achievement rating of at least: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4 (50-59) in any four (4)  NSC subjects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 xml:space="preserve">3 (40-49) in English if not a major or 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5 (50-59) in English if taken as a Major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Candidates will be subjected to further selection processes</w:t>
            </w:r>
          </w:p>
        </w:tc>
        <w:tc>
          <w:tcPr>
            <w:tcW w:w="1905" w:type="dxa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With Matriculation Exemption. At least two in Humanities with two (2)  HG-E and two (2)  SG-D and a pass in any other two (2) school subjects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Candidates will be subjected to further selection processes</w:t>
            </w:r>
          </w:p>
        </w:tc>
        <w:tc>
          <w:tcPr>
            <w:tcW w:w="2951" w:type="dxa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N/A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76AFC" w:rsidRPr="009872B2" w:rsidTr="0027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7" w:type="dxa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</w:t>
            </w:r>
            <w:r w:rsidRPr="00C42658">
              <w:rPr>
                <w:rFonts w:cs="Calibri"/>
                <w:b/>
                <w:sz w:val="20"/>
                <w:szCs w:val="20"/>
              </w:rPr>
              <w:t>5407</w:t>
            </w:r>
          </w:p>
        </w:tc>
        <w:tc>
          <w:tcPr>
            <w:tcW w:w="2971" w:type="dxa"/>
            <w:gridSpan w:val="2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Bachelor of Arts</w:t>
            </w:r>
          </w:p>
        </w:tc>
        <w:tc>
          <w:tcPr>
            <w:tcW w:w="1128" w:type="dxa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Full-time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Endorsement: NSC (Bachelor’s Degree)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Achievement rating of at least: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 xml:space="preserve">4 (50-59) in any four (4) NSC Subjects, two of which shall be from the Humanities and Social Sciences learning field or any other relevant subject. 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5 (60-69) for English if it is to be taken as a Major.</w:t>
            </w:r>
          </w:p>
        </w:tc>
        <w:tc>
          <w:tcPr>
            <w:tcW w:w="1905" w:type="dxa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With Matriculation Exemption. At least two in Humanities with two (2)  HG-E and two (2)  SG-D and a pass in any other two (2) school subjects</w:t>
            </w:r>
          </w:p>
        </w:tc>
        <w:tc>
          <w:tcPr>
            <w:tcW w:w="2951" w:type="dxa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76AFC" w:rsidRPr="009872B2" w:rsidTr="0027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7" w:type="dxa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WS5412</w:t>
            </w:r>
          </w:p>
        </w:tc>
        <w:tc>
          <w:tcPr>
            <w:tcW w:w="2971" w:type="dxa"/>
            <w:gridSpan w:val="2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Bachelor of Psychology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Full-time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Endorsement: NSC (Bachelor’s Degree)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Achievement rating of at least: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4 (50-59) in any four (4) NSC  subjects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 xml:space="preserve">5 (60-69) in English if taken as a </w:t>
            </w:r>
            <w:r w:rsidRPr="00C42658">
              <w:rPr>
                <w:rFonts w:cs="Calibri"/>
                <w:b/>
                <w:sz w:val="20"/>
                <w:szCs w:val="20"/>
              </w:rPr>
              <w:t>Major or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 xml:space="preserve">3 (40-49) in English if not a major  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C42658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C42658">
              <w:rPr>
                <w:rFonts w:cs="Calibri"/>
                <w:sz w:val="20"/>
                <w:szCs w:val="20"/>
              </w:rPr>
              <w:t>With Matriculation Exemption and at least two (2) subjects in Humanities with HG-E or   SG-D pass. A pass in any other two (2) school subjects</w:t>
            </w:r>
          </w:p>
        </w:tc>
        <w:tc>
          <w:tcPr>
            <w:tcW w:w="2951" w:type="dxa"/>
            <w:shd w:val="clear" w:color="auto" w:fill="auto"/>
          </w:tcPr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  <w:p w:rsidR="00676AFC" w:rsidRPr="00C42658" w:rsidRDefault="00676AFC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61D15" w:rsidRPr="009872B2" w:rsidTr="0027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7" w:type="dxa"/>
            <w:shd w:val="clear" w:color="auto" w:fill="auto"/>
          </w:tcPr>
          <w:p w:rsidR="00061D15" w:rsidRDefault="00061D15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WS5418</w:t>
            </w:r>
          </w:p>
        </w:tc>
        <w:tc>
          <w:tcPr>
            <w:tcW w:w="2971" w:type="dxa"/>
            <w:gridSpan w:val="2"/>
            <w:shd w:val="clear" w:color="auto" w:fill="auto"/>
          </w:tcPr>
          <w:p w:rsidR="00061D15" w:rsidRPr="00C42658" w:rsidRDefault="00061D15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Bachelor of Social Work</w:t>
            </w:r>
          </w:p>
        </w:tc>
        <w:tc>
          <w:tcPr>
            <w:tcW w:w="1128" w:type="dxa"/>
            <w:shd w:val="clear" w:color="auto" w:fill="auto"/>
          </w:tcPr>
          <w:p w:rsidR="00061D15" w:rsidRPr="00C42658" w:rsidRDefault="00061D15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061D15" w:rsidRPr="00C42658" w:rsidRDefault="00061D15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61D15" w:rsidRPr="00C42658" w:rsidRDefault="00061D15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061D15" w:rsidRPr="00061D15" w:rsidRDefault="00061D15" w:rsidP="00061D1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1D15">
              <w:rPr>
                <w:rFonts w:ascii="Tahoma" w:hAnsi="Tahoma" w:cs="Tahoma"/>
                <w:sz w:val="20"/>
                <w:szCs w:val="20"/>
              </w:rPr>
              <w:t>NSC endorsement: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1D15">
              <w:rPr>
                <w:rFonts w:ascii="Tahoma" w:hAnsi="Tahoma" w:cs="Tahoma"/>
                <w:sz w:val="20"/>
                <w:szCs w:val="20"/>
              </w:rPr>
              <w:t xml:space="preserve">Bachelor </w:t>
            </w:r>
          </w:p>
          <w:p w:rsidR="00061D15" w:rsidRDefault="00061D15" w:rsidP="00061D15">
            <w:pPr>
              <w:spacing w:after="0" w:line="240" w:lineRule="auto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61D15" w:rsidRPr="00061D15" w:rsidRDefault="00061D15" w:rsidP="00061D15">
            <w:pPr>
              <w:spacing w:after="0" w:line="240" w:lineRule="auto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1D15">
              <w:rPr>
                <w:rFonts w:ascii="Tahoma" w:hAnsi="Tahoma" w:cs="Tahoma"/>
                <w:sz w:val="20"/>
                <w:szCs w:val="20"/>
              </w:rPr>
              <w:t xml:space="preserve">Achievement rating of: </w:t>
            </w:r>
          </w:p>
          <w:p w:rsidR="00061D15" w:rsidRPr="00061D15" w:rsidRDefault="00061D15" w:rsidP="00061D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1D15">
              <w:rPr>
                <w:rFonts w:ascii="Tahoma" w:hAnsi="Tahoma" w:cs="Tahoma"/>
                <w:sz w:val="20"/>
                <w:szCs w:val="20"/>
              </w:rPr>
              <w:t>5 (60-69%) in English Home Language or First Additional Level</w:t>
            </w:r>
          </w:p>
          <w:p w:rsidR="00061D15" w:rsidRPr="00061D15" w:rsidRDefault="00061D15" w:rsidP="00061D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1D15">
              <w:rPr>
                <w:rFonts w:ascii="Tahoma" w:hAnsi="Tahoma" w:cs="Tahoma"/>
                <w:sz w:val="20"/>
                <w:szCs w:val="20"/>
              </w:rPr>
              <w:t>5 (60-69%) in isiXhosa or any other additional Language</w:t>
            </w:r>
          </w:p>
          <w:p w:rsidR="00061D15" w:rsidRPr="00061D15" w:rsidRDefault="00061D15" w:rsidP="00061D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1D15">
              <w:rPr>
                <w:rFonts w:ascii="Tahoma" w:hAnsi="Tahoma" w:cs="Tahoma"/>
                <w:sz w:val="20"/>
                <w:szCs w:val="20"/>
              </w:rPr>
              <w:t>5 (60-69%) in Life Orientation</w:t>
            </w:r>
          </w:p>
          <w:p w:rsidR="00061D15" w:rsidRPr="00061D15" w:rsidRDefault="00061D15" w:rsidP="00061D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1D15">
              <w:rPr>
                <w:rFonts w:ascii="Tahoma" w:hAnsi="Tahoma" w:cs="Tahoma"/>
                <w:sz w:val="20"/>
                <w:szCs w:val="20"/>
              </w:rPr>
              <w:t>3 (40-49%) in Mathematical Literacy</w:t>
            </w:r>
          </w:p>
          <w:p w:rsidR="00061D15" w:rsidRPr="00061D15" w:rsidRDefault="00061D15" w:rsidP="00061D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1D15">
              <w:rPr>
                <w:rFonts w:ascii="Tahoma" w:hAnsi="Tahoma" w:cs="Tahoma"/>
                <w:sz w:val="20"/>
                <w:szCs w:val="20"/>
              </w:rPr>
              <w:t>2 (30-39%) in Mathematics.</w:t>
            </w:r>
          </w:p>
          <w:p w:rsidR="00061D15" w:rsidRPr="00061D15" w:rsidRDefault="00061D15" w:rsidP="00061D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1D15">
              <w:rPr>
                <w:rFonts w:ascii="Tahoma" w:hAnsi="Tahoma" w:cs="Tahoma"/>
                <w:sz w:val="20"/>
                <w:szCs w:val="20"/>
              </w:rPr>
              <w:t>4 (50-59%) in any other THREE (3) subjects which are not included on the above list</w:t>
            </w:r>
          </w:p>
          <w:p w:rsidR="00061D15" w:rsidRPr="00C42658" w:rsidRDefault="00061D15" w:rsidP="00273BD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061D15" w:rsidRPr="00061D15" w:rsidRDefault="00061D15" w:rsidP="00061D15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1D15">
              <w:rPr>
                <w:rFonts w:ascii="Tahoma" w:hAnsi="Tahoma" w:cs="Tahoma"/>
                <w:sz w:val="20"/>
                <w:szCs w:val="20"/>
              </w:rPr>
              <w:t>In case of the old Senior Certificate, a pass with symbol D (SG) or E (HG) in English and IsiXhosa and any other school subjects will be required for admission.</w:t>
            </w:r>
          </w:p>
          <w:p w:rsidR="00061D15" w:rsidRDefault="00061D15" w:rsidP="00061D15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061D15">
              <w:rPr>
                <w:rFonts w:ascii="Tahoma" w:hAnsi="Tahoma" w:cs="Tahoma"/>
                <w:sz w:val="20"/>
                <w:szCs w:val="20"/>
              </w:rPr>
              <w:t>(50-59%) Additional language (Second language).</w:t>
            </w:r>
          </w:p>
          <w:p w:rsidR="00F569D9" w:rsidRPr="00F569D9" w:rsidRDefault="00F569D9" w:rsidP="00F569D9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69D9">
              <w:rPr>
                <w:rFonts w:ascii="Tahoma" w:hAnsi="Tahoma" w:cs="Tahoma"/>
                <w:sz w:val="20"/>
                <w:szCs w:val="20"/>
              </w:rPr>
              <w:t>Mature age exemption for applicants in possession of the Senior Certificate as per rule 1.7 of the WSU General Rules &amp; Regulations.</w:t>
            </w:r>
          </w:p>
          <w:p w:rsidR="00061D15" w:rsidRPr="00F569D9" w:rsidRDefault="00F569D9" w:rsidP="00F569D9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cs="Calibri"/>
                <w:b/>
                <w:sz w:val="20"/>
                <w:szCs w:val="20"/>
              </w:rPr>
            </w:pPr>
            <w:r w:rsidRPr="00F569D9">
              <w:rPr>
                <w:rFonts w:ascii="Tahoma" w:hAnsi="Tahoma" w:cs="Tahoma"/>
                <w:sz w:val="20"/>
                <w:szCs w:val="20"/>
              </w:rPr>
              <w:lastRenderedPageBreak/>
              <w:t>RPL: Students in possession of Auxiliary Social Work and those that have work-related experience in the field of Social Work will go through the RPL process before being admitted into the programme according to WSU RPL policy.</w:t>
            </w:r>
          </w:p>
          <w:p w:rsidR="00F569D9" w:rsidRPr="00C42658" w:rsidRDefault="00F569D9" w:rsidP="00F569D9">
            <w:pPr>
              <w:spacing w:after="0" w:line="240" w:lineRule="auto"/>
              <w:ind w:left="17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061D15" w:rsidRPr="00C42658" w:rsidRDefault="00061D15" w:rsidP="00273BD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676AFC" w:rsidRDefault="00676AFC" w:rsidP="00676AFC">
      <w:pPr>
        <w:rPr>
          <w:sz w:val="18"/>
          <w:szCs w:val="18"/>
        </w:rPr>
      </w:pPr>
    </w:p>
    <w:p w:rsidR="003041B7" w:rsidRDefault="003041B7" w:rsidP="00F569D9"/>
    <w:sectPr w:rsidR="003041B7" w:rsidSect="00735AF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D4" w:rsidRDefault="00174BD4" w:rsidP="00282141">
      <w:pPr>
        <w:spacing w:after="0" w:line="240" w:lineRule="auto"/>
      </w:pPr>
      <w:r>
        <w:separator/>
      </w:r>
    </w:p>
  </w:endnote>
  <w:endnote w:type="continuationSeparator" w:id="0">
    <w:p w:rsidR="00174BD4" w:rsidRDefault="00174BD4" w:rsidP="0028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41" w:rsidRDefault="00282141" w:rsidP="00282141">
    <w:pPr>
      <w:jc w:val="center"/>
      <w:rPr>
        <w:b/>
        <w:sz w:val="18"/>
        <w:szCs w:val="18"/>
      </w:rPr>
    </w:pPr>
    <w:r w:rsidRPr="00F21D13">
      <w:rPr>
        <w:b/>
        <w:sz w:val="18"/>
        <w:szCs w:val="18"/>
        <w:u w:val="single"/>
      </w:rPr>
      <w:t>Please note:</w:t>
    </w:r>
    <w:r w:rsidRPr="00F21D13">
      <w:rPr>
        <w:b/>
        <w:sz w:val="18"/>
        <w:szCs w:val="18"/>
      </w:rPr>
      <w:t xml:space="preserve"> Although information in this brochure has been compiled as accurately as possible, the Council and Senate of Walter </w:t>
    </w:r>
    <w:proofErr w:type="spellStart"/>
    <w:r w:rsidRPr="00F21D13">
      <w:rPr>
        <w:b/>
        <w:sz w:val="18"/>
        <w:szCs w:val="18"/>
      </w:rPr>
      <w:t>Sisulu</w:t>
    </w:r>
    <w:proofErr w:type="spellEnd"/>
    <w:r w:rsidRPr="00F21D13">
      <w:rPr>
        <w:b/>
        <w:sz w:val="18"/>
        <w:szCs w:val="18"/>
      </w:rPr>
      <w:t xml:space="preserve"> University accepts no responsibility for errors and omissions.                 WSU reserves the right to make any necessary alterations to this brochure as and when the need arises. *This brochure</w:t>
    </w:r>
    <w:r w:rsidR="00E92692">
      <w:rPr>
        <w:b/>
        <w:sz w:val="18"/>
        <w:szCs w:val="18"/>
      </w:rPr>
      <w:t xml:space="preserve"> is only applicable for the 2021</w:t>
    </w:r>
    <w:r>
      <w:rPr>
        <w:b/>
        <w:sz w:val="18"/>
        <w:szCs w:val="18"/>
      </w:rPr>
      <w:t xml:space="preserve"> academic year*</w:t>
    </w:r>
  </w:p>
  <w:p w:rsidR="00282141" w:rsidRDefault="00282141">
    <w:pPr>
      <w:pStyle w:val="Footer"/>
    </w:pPr>
  </w:p>
  <w:p w:rsidR="00282141" w:rsidRDefault="00282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D4" w:rsidRDefault="00174BD4" w:rsidP="00282141">
      <w:pPr>
        <w:spacing w:after="0" w:line="240" w:lineRule="auto"/>
      </w:pPr>
      <w:r>
        <w:separator/>
      </w:r>
    </w:p>
  </w:footnote>
  <w:footnote w:type="continuationSeparator" w:id="0">
    <w:p w:rsidR="00174BD4" w:rsidRDefault="00174BD4" w:rsidP="0028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35BE"/>
    <w:multiLevelType w:val="hybridMultilevel"/>
    <w:tmpl w:val="0DB685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D60C0"/>
    <w:multiLevelType w:val="hybridMultilevel"/>
    <w:tmpl w:val="01440E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44962"/>
    <w:multiLevelType w:val="hybridMultilevel"/>
    <w:tmpl w:val="C1BCC1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60468"/>
    <w:multiLevelType w:val="hybridMultilevel"/>
    <w:tmpl w:val="966421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07F79"/>
    <w:multiLevelType w:val="hybridMultilevel"/>
    <w:tmpl w:val="8354AB58"/>
    <w:lvl w:ilvl="0" w:tplc="1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6B810321"/>
    <w:multiLevelType w:val="hybridMultilevel"/>
    <w:tmpl w:val="8ECE02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FC"/>
    <w:rsid w:val="00061D15"/>
    <w:rsid w:val="00174BD4"/>
    <w:rsid w:val="001C3E4A"/>
    <w:rsid w:val="00273BD9"/>
    <w:rsid w:val="00282141"/>
    <w:rsid w:val="002D02CB"/>
    <w:rsid w:val="003041B7"/>
    <w:rsid w:val="00345ECD"/>
    <w:rsid w:val="004405B1"/>
    <w:rsid w:val="00477AAF"/>
    <w:rsid w:val="005351ED"/>
    <w:rsid w:val="005D4285"/>
    <w:rsid w:val="0060569B"/>
    <w:rsid w:val="00630DBF"/>
    <w:rsid w:val="00653BB0"/>
    <w:rsid w:val="00671865"/>
    <w:rsid w:val="00676AFC"/>
    <w:rsid w:val="00735AFC"/>
    <w:rsid w:val="00766542"/>
    <w:rsid w:val="007C0CC9"/>
    <w:rsid w:val="009F25A2"/>
    <w:rsid w:val="00A14C49"/>
    <w:rsid w:val="00A25025"/>
    <w:rsid w:val="00AB302B"/>
    <w:rsid w:val="00AC2BCA"/>
    <w:rsid w:val="00B10A72"/>
    <w:rsid w:val="00C55C72"/>
    <w:rsid w:val="00D270FC"/>
    <w:rsid w:val="00D408AD"/>
    <w:rsid w:val="00E92692"/>
    <w:rsid w:val="00EE3E90"/>
    <w:rsid w:val="00F351D7"/>
    <w:rsid w:val="00F569D9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D3624-055C-4B32-B113-2E529F04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36870912">
    <w:name w:val="Style536870912"/>
    <w:rsid w:val="00735A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5AF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35AF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141"/>
  </w:style>
  <w:style w:type="paragraph" w:styleId="Footer">
    <w:name w:val="footer"/>
    <w:basedOn w:val="Normal"/>
    <w:link w:val="FooterChar"/>
    <w:uiPriority w:val="99"/>
    <w:unhideWhenUsed/>
    <w:rsid w:val="0028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2020-06-04T07:19:00Z</dcterms:created>
  <dcterms:modified xsi:type="dcterms:W3CDTF">2020-06-08T08:50:00Z</dcterms:modified>
</cp:coreProperties>
</file>